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5" w:name="nota-interna-estratégia-processual"/>
    <w:p>
      <w:pPr>
        <w:pStyle w:val="Heading2"/>
      </w:pPr>
      <w:r>
        <w:t xml:space="preserve">Nota Interna – Estratégia Processual</w:t>
      </w:r>
    </w:p>
    <w:p>
      <w:pPr>
        <w:pStyle w:val="FirstParagraph"/>
      </w:pPr>
      <w:r>
        <w:rPr>
          <w:b/>
          <w:bCs/>
        </w:rPr>
        <w:t xml:space="preserve">Processo n.º 2023/04567 – Ação Civil e Penal por Abuso de Menores na Associação Casa da Juventude</w:t>
      </w:r>
      <w:r>
        <w:br/>
      </w:r>
      <w:r>
        <w:rPr>
          <w:b/>
          <w:bCs/>
        </w:rPr>
        <w:t xml:space="preserve">Vara:</w:t>
      </w:r>
      <w:r>
        <w:t xml:space="preserve"> </w:t>
      </w:r>
      <w:r>
        <w:t xml:space="preserve">Vara de Família e Menores de Lisboa</w:t>
      </w:r>
      <w:r>
        <w:br/>
      </w:r>
      <w:r>
        <w:rPr>
          <w:b/>
          <w:bCs/>
        </w:rPr>
        <w:t xml:space="preserve">Juiz:</w:t>
      </w:r>
      <w:r>
        <w:t xml:space="preserve"> </w:t>
      </w:r>
      <w:r>
        <w:t xml:space="preserve">Dr. António Ribeiro</w:t>
      </w:r>
    </w:p>
    <w:p>
      <w:pPr>
        <w:pStyle w:val="BodyText"/>
      </w:pPr>
      <w:r>
        <w:rPr>
          <w:b/>
          <w:bCs/>
        </w:rPr>
        <w:t xml:space="preserve">Data:</w:t>
      </w:r>
      <w:r>
        <w:t xml:space="preserve"> </w:t>
      </w:r>
      <w:r>
        <w:t xml:space="preserve">22 de fevereiro de 2026</w:t>
      </w:r>
    </w:p>
    <w:p>
      <w:r>
        <w:pict>
          <v:rect style="width:0;height:1.5pt" o:hralign="center" o:hrstd="t" o:hr="t"/>
        </w:pict>
      </w:r>
    </w:p>
    <w:bookmarkStart w:id="9" w:name="contexto-factualjurídico"/>
    <w:p>
      <w:pPr>
        <w:pStyle w:val="Heading3"/>
      </w:pPr>
      <w:r>
        <w:t xml:space="preserve">1. Contexto Factual‑Jurídico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292"/>
        <w:gridCol w:w="3960"/>
        <w:gridCol w:w="1667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Parte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Representação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NIF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Autor / Requerente</w:t>
            </w:r>
          </w:p>
        </w:tc>
        <w:tc>
          <w:tcPr/>
          <w:p>
            <w:pPr>
              <w:pStyle w:val="Compact"/>
            </w:pPr>
            <w:r>
              <w:t xml:space="preserve">João Silva, menor, representado por Maria Silva (mãe)</w:t>
            </w:r>
          </w:p>
        </w:tc>
        <w:tc>
          <w:tcPr/>
          <w:p>
            <w:pPr>
              <w:pStyle w:val="Compact"/>
            </w:pPr>
            <w:r>
              <w:t xml:space="preserve">123 456 789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Réu 1</w:t>
            </w:r>
          </w:p>
        </w:tc>
        <w:tc>
          <w:tcPr/>
          <w:p>
            <w:pPr>
              <w:pStyle w:val="Compact"/>
            </w:pPr>
            <w:r>
              <w:t xml:space="preserve">Associação Casa da Juventude, Lda.</w:t>
            </w:r>
          </w:p>
        </w:tc>
        <w:tc>
          <w:tcPr/>
          <w:p>
            <w:pPr>
              <w:pStyle w:val="Compact"/>
            </w:pPr>
            <w:r>
              <w:t xml:space="preserve">987 654 321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Réu 2</w:t>
            </w:r>
          </w:p>
        </w:tc>
        <w:tc>
          <w:tcPr/>
          <w:p>
            <w:pPr>
              <w:pStyle w:val="Compact"/>
            </w:pPr>
            <w:r>
              <w:t xml:space="preserve">Carlos Mendes (ex‑diretor)</w:t>
            </w:r>
          </w:p>
        </w:tc>
        <w:tc>
          <w:tcPr/>
          <w:p>
            <w:pPr>
              <w:pStyle w:val="Compact"/>
            </w:pPr>
            <w:r>
              <w:t xml:space="preserve">234 567 890</w:t>
            </w:r>
          </w:p>
        </w:tc>
      </w:tr>
    </w:tbl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Objeto:</w:t>
      </w:r>
      <w:r>
        <w:t xml:space="preserve"> </w:t>
      </w:r>
      <w:r>
        <w:t xml:space="preserve">Alegado abuso sexual continuado de menores (2015‑2020) e incumprimento da obrigação legal de vigilância e proteção.</w:t>
      </w:r>
      <w:r>
        <w:br/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Pedidos:</w:t>
      </w:r>
      <w:r>
        <w:t xml:space="preserve"> </w:t>
      </w:r>
      <w:r>
        <w:t xml:space="preserve">Tutela de urgência (medidas protetivas), produção de provas periciais, indemnização por danos morais e patrimoniais, e abertura de investigação criminal.</w:t>
      </w:r>
    </w:p>
    <w:bookmarkEnd w:id="9"/>
    <w:bookmarkStart w:id="10" w:name="objetivos-da-estratégia"/>
    <w:p>
      <w:pPr>
        <w:pStyle w:val="Heading3"/>
      </w:pPr>
      <w:r>
        <w:t xml:space="preserve">2. Objetivos da Estratégia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Consolidar a prova do nexo causal entre os atos ilícitos e os danos sofridos por João Silva</w:t>
      </w:r>
      <w:r>
        <w:t xml:space="preserve">, mediante provas testemunhais, periciais e documentais.</w:t>
      </w:r>
      <w:r>
        <w:br/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Obter, em sede de tutela de urgência, a suspensão imediata de quaisquer atividades da Associação que impliquem contacto com menores</w:t>
      </w:r>
      <w:r>
        <w:t xml:space="preserve">, bem como a proibição de Carlos Mendes de exercer funções de direção ou contacto direto com menores.</w:t>
      </w:r>
      <w:r>
        <w:br/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Maximizar a responsabilidade civil e penal dos réus</w:t>
      </w:r>
      <w:r>
        <w:t xml:space="preserve">, assegurando a quantia de indemnização mais elevada possível (valor estimado: € 250 000,00).</w:t>
      </w:r>
      <w:r>
        <w:br/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Preservar a confidencialidade e a proteção da identidade do menor</w:t>
      </w:r>
      <w:r>
        <w:t xml:space="preserve">, em conformidade com o art. 38.º do Código de Processo Civil e a Lei de Proteção de Crianças e Jovens em Perigo.</w:t>
      </w:r>
    </w:p>
    <w:bookmarkEnd w:id="10"/>
    <w:bookmarkStart w:id="11" w:name="estratégia-de-produção-de-provas"/>
    <w:p>
      <w:pPr>
        <w:pStyle w:val="Heading3"/>
      </w:pPr>
      <w:r>
        <w:t xml:space="preserve">3. Estratégia de Produção de Provas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857"/>
        <w:gridCol w:w="2346"/>
        <w:gridCol w:w="2346"/>
        <w:gridCol w:w="1368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Tipo de Prova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Fundamentação Legal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Método de Obtenção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Objetivo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Testemunhos de menores e adultos</w:t>
            </w:r>
          </w:p>
        </w:tc>
        <w:tc>
          <w:tcPr/>
          <w:p>
            <w:pPr>
              <w:pStyle w:val="Compact"/>
            </w:pPr>
            <w:r>
              <w:t xml:space="preserve">Art. 698.º CPC – Oitiva de menores</w:t>
            </w:r>
          </w:p>
        </w:tc>
        <w:tc>
          <w:tcPr/>
          <w:p>
            <w:pPr>
              <w:pStyle w:val="Compact"/>
            </w:pPr>
            <w:r>
              <w:t xml:space="preserve">Audiências de inquirição com apoio de psicólogo forense (Dr.ª Inês Ribeiro)</w:t>
            </w:r>
          </w:p>
        </w:tc>
        <w:tc>
          <w:tcPr/>
          <w:p>
            <w:pPr>
              <w:pStyle w:val="Compact"/>
            </w:pPr>
            <w:r>
              <w:t xml:space="preserve">Corroborar a narrativa de João Silva e identificar outros possíveis vítimas.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Perícia Psicológica</w:t>
            </w:r>
          </w:p>
        </w:tc>
        <w:tc>
          <w:tcPr/>
          <w:p>
            <w:pPr>
              <w:pStyle w:val="Compact"/>
            </w:pPr>
            <w:r>
              <w:t xml:space="preserve">Art. 702.º CPC – Perícia psicológica</w:t>
            </w:r>
          </w:p>
        </w:tc>
        <w:tc>
          <w:tcPr/>
          <w:p>
            <w:pPr>
              <w:pStyle w:val="Compact"/>
            </w:pPr>
            <w:r>
              <w:t xml:space="preserve">Laudo pericial a cargo do Instituto de Ciências Jurídico‑Psicológicas (ICJP)</w:t>
            </w:r>
          </w:p>
        </w:tc>
        <w:tc>
          <w:tcPr/>
          <w:p>
            <w:pPr>
              <w:pStyle w:val="Compact"/>
            </w:pPr>
            <w:r>
              <w:t xml:space="preserve">Avaliar o impacto psicológico e quantificar danos morais.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Perícia de Documentos</w:t>
            </w:r>
          </w:p>
        </w:tc>
        <w:tc>
          <w:tcPr/>
          <w:p>
            <w:pPr>
              <w:pStyle w:val="Compact"/>
            </w:pPr>
            <w:r>
              <w:t xml:space="preserve">Art. 698.º CPC – Exame pericial de documentos</w:t>
            </w:r>
          </w:p>
        </w:tc>
        <w:tc>
          <w:tcPr/>
          <w:p>
            <w:pPr>
              <w:pStyle w:val="Compact"/>
            </w:pPr>
            <w:r>
              <w:t xml:space="preserve">Análise dos registos internos da Associação (actas, folhas de presença, relatórios de atividade)</w:t>
            </w:r>
          </w:p>
        </w:tc>
        <w:tc>
          <w:tcPr/>
          <w:p>
            <w:pPr>
              <w:pStyle w:val="Compact"/>
            </w:pPr>
            <w:r>
              <w:t xml:space="preserve">Demonstrar falhas de vigilância e possíveis encobrimentos.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Depoimento de ex‑funcionários</w:t>
            </w:r>
          </w:p>
        </w:tc>
        <w:tc>
          <w:tcPr/>
          <w:p>
            <w:pPr>
              <w:pStyle w:val="Compact"/>
            </w:pPr>
            <w:r>
              <w:t xml:space="preserve">Art. 698.º CPC – Oitiva de testemunhas</w:t>
            </w:r>
          </w:p>
        </w:tc>
        <w:tc>
          <w:tcPr/>
          <w:p>
            <w:pPr>
              <w:pStyle w:val="Compact"/>
            </w:pPr>
            <w:r>
              <w:t xml:space="preserve">Interrogatório de dois antigos colaboradores da Associação (Ana Pereira, Luís Fonseca)</w:t>
            </w:r>
          </w:p>
        </w:tc>
        <w:tc>
          <w:tcPr/>
          <w:p>
            <w:pPr>
              <w:pStyle w:val="Compact"/>
            </w:pPr>
            <w:r>
              <w:t xml:space="preserve">Evidenciar conhecimento interno dos abusos.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Requisição de Registos de Segurança Social e Saúde</w:t>
            </w:r>
          </w:p>
        </w:tc>
        <w:tc>
          <w:tcPr/>
          <w:p>
            <w:pPr>
              <w:pStyle w:val="Compact"/>
            </w:pPr>
            <w:r>
              <w:t xml:space="preserve">Art. 703.º CPC – Pedido de documentos a entidades públicas</w:t>
            </w:r>
          </w:p>
        </w:tc>
        <w:tc>
          <w:tcPr/>
          <w:p>
            <w:pPr>
              <w:pStyle w:val="Compact"/>
            </w:pPr>
            <w:r>
              <w:t xml:space="preserve">Pedido ao INSS e ao Serviço Nacional de Saúde (SNS)</w:t>
            </w:r>
          </w:p>
        </w:tc>
        <w:tc>
          <w:tcPr/>
          <w:p>
            <w:pPr>
              <w:pStyle w:val="Compact"/>
            </w:pPr>
            <w:r>
              <w:t xml:space="preserve">Verificar declarações de saúde e eventuais relatórios de abuso.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Audiência de Instrução e Julgamento</w:t>
            </w:r>
          </w:p>
        </w:tc>
        <w:tc>
          <w:tcPr/>
          <w:p>
            <w:pPr>
              <w:pStyle w:val="Compact"/>
            </w:pPr>
            <w:r>
              <w:t xml:space="preserve">Art. 709.º CPC – Audiência de instrução</w:t>
            </w:r>
          </w:p>
        </w:tc>
        <w:tc>
          <w:tcPr/>
          <w:p>
            <w:pPr>
              <w:pStyle w:val="Compact"/>
            </w:pPr>
            <w:r>
              <w:t xml:space="preserve">Agendamento para 15 de maio de 2026</w:t>
            </w:r>
          </w:p>
        </w:tc>
        <w:tc>
          <w:tcPr/>
          <w:p>
            <w:pPr>
              <w:pStyle w:val="Compact"/>
            </w:pPr>
            <w:r>
              <w:t xml:space="preserve">Consolidar todas as provas produzidas.</w:t>
            </w:r>
          </w:p>
        </w:tc>
      </w:tr>
    </w:tbl>
    <w:bookmarkEnd w:id="11"/>
    <w:bookmarkStart w:id="12" w:name="cronograma-de-atos-até-à-sentença"/>
    <w:p>
      <w:pPr>
        <w:pStyle w:val="Heading3"/>
      </w:pPr>
      <w:r>
        <w:t xml:space="preserve">4. Cronograma de Atos (até à sentença)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207"/>
        <w:gridCol w:w="1298"/>
        <w:gridCol w:w="2207"/>
        <w:gridCol w:w="2207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Data Limite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Ato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Responsável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Observações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30/03/2026</w:t>
            </w:r>
          </w:p>
        </w:tc>
        <w:tc>
          <w:tcPr/>
          <w:p>
            <w:pPr>
              <w:pStyle w:val="Compact"/>
            </w:pPr>
            <w:r>
              <w:t xml:space="preserve">Pedido de tutela de urgência (medidas protetivas)</w:t>
            </w:r>
          </w:p>
        </w:tc>
        <w:tc>
          <w:tcPr/>
          <w:p>
            <w:pPr>
              <w:pStyle w:val="Compact"/>
            </w:pPr>
            <w:r>
              <w:t xml:space="preserve">Dr. Luís Costa</w:t>
            </w:r>
          </w:p>
        </w:tc>
        <w:tc>
          <w:tcPr/>
          <w:p>
            <w:pPr>
              <w:pStyle w:val="Compact"/>
            </w:pPr>
            <w:r>
              <w:t xml:space="preserve">Juntada de documentos de identidade e certidão de nascimento do menor.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10/04/2026</w:t>
            </w:r>
          </w:p>
        </w:tc>
        <w:tc>
          <w:tcPr/>
          <w:p>
            <w:pPr>
              <w:pStyle w:val="Compact"/>
            </w:pPr>
            <w:r>
              <w:t xml:space="preserve">Requisição de documentos da Associação (actas, relatórios)</w:t>
            </w:r>
          </w:p>
        </w:tc>
        <w:tc>
          <w:tcPr/>
          <w:p>
            <w:pPr>
              <w:pStyle w:val="Compact"/>
            </w:pPr>
            <w:r>
              <w:t xml:space="preserve">Dra. Sofia Almeida</w:t>
            </w:r>
          </w:p>
        </w:tc>
        <w:tc>
          <w:tcPr/>
          <w:p>
            <w:pPr>
              <w:pStyle w:val="Compact"/>
            </w:pPr>
            <w:r>
              <w:t xml:space="preserve">Utilizar o art. 703.º CPC; prazo de 15 dias úteis.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20/04/2026</w:t>
            </w:r>
          </w:p>
        </w:tc>
        <w:tc>
          <w:tcPr/>
          <w:p>
            <w:pPr>
              <w:pStyle w:val="Compact"/>
            </w:pPr>
            <w:r>
              <w:t xml:space="preserve">Pedido de perícia psicológica ao ICJP</w:t>
            </w:r>
          </w:p>
        </w:tc>
        <w:tc>
          <w:tcPr/>
          <w:p>
            <w:pPr>
              <w:pStyle w:val="Compact"/>
            </w:pPr>
            <w:r>
              <w:t xml:space="preserve">Dr. Luís Costa</w:t>
            </w:r>
          </w:p>
        </w:tc>
        <w:tc>
          <w:tcPr/>
          <w:p>
            <w:pPr>
              <w:pStyle w:val="Compact"/>
            </w:pPr>
            <w:r>
              <w:t xml:space="preserve">Incluir quesitos sobre grau de dano moral.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05/05/2026</w:t>
            </w:r>
          </w:p>
        </w:tc>
        <w:tc>
          <w:tcPr/>
          <w:p>
            <w:pPr>
              <w:pStyle w:val="Compact"/>
            </w:pPr>
            <w:r>
              <w:t xml:space="preserve">Agendamento de oitiva de testemunhas (menores e adultos)</w:t>
            </w:r>
          </w:p>
        </w:tc>
        <w:tc>
          <w:tcPr/>
          <w:p>
            <w:pPr>
              <w:pStyle w:val="Compact"/>
            </w:pPr>
            <w:r>
              <w:t xml:space="preserve">Dra. Sofia Almeida</w:t>
            </w:r>
          </w:p>
        </w:tc>
        <w:tc>
          <w:tcPr/>
          <w:p>
            <w:pPr>
              <w:pStyle w:val="Compact"/>
            </w:pPr>
            <w:r>
              <w:t xml:space="preserve">Garantir presença de psicólogo forense.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15/05/2026</w:t>
            </w:r>
          </w:p>
        </w:tc>
        <w:tc>
          <w:tcPr/>
          <w:p>
            <w:pPr>
              <w:pStyle w:val="Compact"/>
            </w:pPr>
            <w:r>
              <w:t xml:space="preserve">Audiência de instrução e julgamento (primeira fase)</w:t>
            </w:r>
          </w:p>
        </w:tc>
        <w:tc>
          <w:tcPr/>
          <w:p>
            <w:pPr>
              <w:pStyle w:val="Compact"/>
            </w:pPr>
            <w:r>
              <w:t xml:space="preserve">Ambos</w:t>
            </w:r>
          </w:p>
        </w:tc>
        <w:tc>
          <w:tcPr/>
          <w:p>
            <w:pPr>
              <w:pStyle w:val="Compact"/>
            </w:pPr>
            <w:r>
              <w:t xml:space="preserve">Apresentação de laudos periciais e documentos requisitados.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01/06/2026</w:t>
            </w:r>
          </w:p>
        </w:tc>
        <w:tc>
          <w:tcPr/>
          <w:p>
            <w:pPr>
              <w:pStyle w:val="Compact"/>
            </w:pPr>
            <w:r>
              <w:t xml:space="preserve">Pedido de indemnização civil (valor base € 250 000,00)</w:t>
            </w:r>
          </w:p>
        </w:tc>
        <w:tc>
          <w:tcPr/>
          <w:p>
            <w:pPr>
              <w:pStyle w:val="Compact"/>
            </w:pPr>
            <w:r>
              <w:t xml:space="preserve">Dr. Luís Costa</w:t>
            </w:r>
          </w:p>
        </w:tc>
        <w:tc>
          <w:tcPr/>
          <w:p>
            <w:pPr>
              <w:pStyle w:val="Compact"/>
            </w:pPr>
            <w:r>
              <w:t xml:space="preserve">Fundamentação em art. 483.º do CPC e jurisprudência do Supremo Tribunal de Justiça.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20/06/2026</w:t>
            </w:r>
          </w:p>
        </w:tc>
        <w:tc>
          <w:tcPr/>
          <w:p>
            <w:pPr>
              <w:pStyle w:val="Compact"/>
            </w:pPr>
            <w:r>
              <w:t xml:space="preserve">Submissão de memoriais finais</w:t>
            </w:r>
          </w:p>
        </w:tc>
        <w:tc>
          <w:tcPr/>
          <w:p>
            <w:pPr>
              <w:pStyle w:val="Compact"/>
            </w:pPr>
            <w:r>
              <w:t xml:space="preserve">Dra. Sofia Almeida</w:t>
            </w:r>
          </w:p>
        </w:tc>
        <w:tc>
          <w:tcPr/>
          <w:p>
            <w:pPr>
              <w:pStyle w:val="Compact"/>
            </w:pPr>
            <w:r>
              <w:t xml:space="preserve">Resumo de provas e argumentação jurídica.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10/07/2026</w:t>
            </w:r>
          </w:p>
        </w:tc>
        <w:tc>
          <w:tcPr/>
          <w:p>
            <w:pPr>
              <w:pStyle w:val="Compact"/>
            </w:pPr>
            <w:r>
              <w:t xml:space="preserve">Receção da sentença e preparação de recurso (se necessário)</w:t>
            </w:r>
          </w:p>
        </w:tc>
        <w:tc>
          <w:tcPr/>
          <w:p>
            <w:pPr>
              <w:pStyle w:val="Compact"/>
            </w:pPr>
            <w:r>
              <w:t xml:space="preserve">Ambos</w:t>
            </w:r>
          </w:p>
        </w:tc>
        <w:tc>
          <w:tcPr/>
          <w:p>
            <w:pPr>
              <w:pStyle w:val="Compact"/>
            </w:pPr>
            <w:r>
              <w:t xml:space="preserve">Avaliar necessidade de recurso ao Tribunal da Relação de Lisboa.</w:t>
            </w:r>
          </w:p>
        </w:tc>
      </w:tr>
    </w:tbl>
    <w:bookmarkEnd w:id="12"/>
    <w:bookmarkStart w:id="13" w:name="distribuição-de-tarefas"/>
    <w:p>
      <w:pPr>
        <w:pStyle w:val="Heading3"/>
      </w:pPr>
      <w:r>
        <w:t xml:space="preserve">5. Distribuição de Tarefas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262"/>
        <w:gridCol w:w="3879"/>
        <w:gridCol w:w="1777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Advogado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Tarefas Principais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Prazo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Dr. Luís Costa (OA 12345)</w:t>
            </w:r>
          </w:p>
        </w:tc>
        <w:tc>
          <w:tcPr/>
          <w:p>
            <w:pPr>
              <w:pStyle w:val="Compact"/>
            </w:pPr>
            <w:r>
              <w:t xml:space="preserve">- Redação e apresentação do pedido de tutela de urgência;</w:t>
            </w:r>
            <w:r>
              <w:t xml:space="preserve">- Coordenação da perícia psicológica;</w:t>
            </w:r>
            <w:r>
              <w:t xml:space="preserve">- Elaboração dos quesitos de prova pericial;</w:t>
            </w:r>
          </w:p>
        </w:tc>
        <w:tc>
          <w:tcPr/>
          <w:p>
            <w:pPr>
              <w:pStyle w:val="Compact"/>
            </w:pPr>
            <w:r>
              <w:t xml:space="preserve">Imediato – 30/03/2026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Dra. Sofia Almeida (OA 67890)</w:t>
            </w:r>
          </w:p>
        </w:tc>
        <w:tc>
          <w:tcPr/>
          <w:p>
            <w:pPr>
              <w:pStyle w:val="Compact"/>
            </w:pPr>
            <w:r>
              <w:t xml:space="preserve">- Requisição de documentos à Associação e a entidades públicas;</w:t>
            </w:r>
            <w:r>
              <w:t xml:space="preserve">- Organização e condução das oitivas de testemunhas;</w:t>
            </w:r>
            <w:r>
              <w:t xml:space="preserve">- Redação dos memoriais finais e do pedido de indemnização;</w:t>
            </w:r>
          </w:p>
        </w:tc>
        <w:tc>
          <w:tcPr/>
          <w:p>
            <w:pPr>
              <w:pStyle w:val="Compact"/>
            </w:pPr>
            <w:r>
              <w:t xml:space="preserve">Imediato – 10/04/2026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Assistente Jurídico – Carlos Teixeira</w:t>
            </w:r>
          </w:p>
        </w:tc>
        <w:tc>
          <w:tcPr/>
          <w:p>
            <w:pPr>
              <w:pStyle w:val="Compact"/>
            </w:pPr>
            <w:r>
              <w:t xml:space="preserve">- Preparação de dossiers de prova (indexação, fotocópias, digitalização);</w:t>
            </w:r>
            <w:r>
              <w:t xml:space="preserve">- Agendamento de reuniões com peritos e psicólogo forense;</w:t>
            </w:r>
          </w:p>
        </w:tc>
        <w:tc>
          <w:tcPr/>
          <w:p>
            <w:pPr>
              <w:pStyle w:val="Compact"/>
            </w:pPr>
            <w:r>
              <w:t xml:space="preserve">Contínuo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Paralegal – Ana Duarte</w:t>
            </w:r>
          </w:p>
        </w:tc>
        <w:tc>
          <w:tcPr/>
          <w:p>
            <w:pPr>
              <w:pStyle w:val="Compact"/>
            </w:pPr>
            <w:r>
              <w:t xml:space="preserve">- Controle de prazos no sistema de gestão de processos;</w:t>
            </w:r>
            <w:r>
              <w:t xml:space="preserve">- Elaboração de comunicações internas e externas (notificações, requerimentos);</w:t>
            </w:r>
          </w:p>
        </w:tc>
        <w:tc>
          <w:tcPr/>
          <w:p>
            <w:pPr>
              <w:pStyle w:val="Compact"/>
            </w:pPr>
            <w:r>
              <w:t xml:space="preserve">Contínuo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Psicólogo Forense – Dr.ª Inês Ribeiro</w:t>
            </w:r>
            <w:r>
              <w:t xml:space="preserve"> </w:t>
            </w:r>
            <w:r>
              <w:t xml:space="preserve">(consultor)</w:t>
            </w:r>
          </w:p>
        </w:tc>
        <w:tc>
          <w:tcPr/>
          <w:p>
            <w:pPr>
              <w:pStyle w:val="Compact"/>
            </w:pPr>
            <w:r>
              <w:t xml:space="preserve">- Realização das entrevistas psicológicas ao menor e elaboração de laudo;</w:t>
            </w:r>
            <w:r>
              <w:t xml:space="preserve">- Apoio durante as audiências de inquirição;</w:t>
            </w:r>
          </w:p>
        </w:tc>
        <w:tc>
          <w:tcPr/>
          <w:p>
            <w:pPr>
              <w:pStyle w:val="Compact"/>
            </w:pPr>
            <w:r>
              <w:t xml:space="preserve">20/04/2026 – 15/05/2026</w:t>
            </w:r>
          </w:p>
        </w:tc>
      </w:tr>
    </w:tbl>
    <w:bookmarkEnd w:id="13"/>
    <w:bookmarkStart w:id="14" w:name="observações-finais"/>
    <w:p>
      <w:pPr>
        <w:pStyle w:val="Heading3"/>
      </w:pPr>
      <w:r>
        <w:t xml:space="preserve">6. Observações Finais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Confidencialidade:</w:t>
      </w:r>
      <w:r>
        <w:t xml:space="preserve"> </w:t>
      </w:r>
      <w:r>
        <w:t xml:space="preserve">Todos os documentos e comunicações deverão ser marcados como “</w:t>
      </w:r>
      <w:r>
        <w:rPr>
          <w:b/>
          <w:bCs/>
        </w:rPr>
        <w:t xml:space="preserve">Confidencial – Uso Interno</w:t>
      </w:r>
      <w:r>
        <w:t xml:space="preserve">” e armazenados em pasta criptografada no servidor da sociedade.</w:t>
      </w:r>
      <w:r>
        <w:br/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Comunicação com a parte representada:</w:t>
      </w:r>
      <w:r>
        <w:t xml:space="preserve"> </w:t>
      </w:r>
      <w:r>
        <w:t xml:space="preserve">A mãe de João Silva, Maria Silva, será informada mensalmente, por escrito, dos avanços processuais e das decisões relevantes.</w:t>
      </w:r>
      <w:r>
        <w:br/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Risco de dilação:</w:t>
      </w:r>
      <w:r>
        <w:t xml:space="preserve"> </w:t>
      </w:r>
      <w:r>
        <w:t xml:space="preserve">Recomenda‑se insistir na aplicação do art. 700.º CPC para evitar atrasos injustificados nas respostas da Associação e das entidades públicas.</w:t>
      </w:r>
      <w:r>
        <w:br/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Cooperação com a autoridade policial:</w:t>
      </w:r>
      <w:r>
        <w:t xml:space="preserve"> </w:t>
      </w:r>
      <w:r>
        <w:t xml:space="preserve">Manter contacto permanente com a Polícia Judiciária (secção de crimes contra menores) para garantir que as diligências criminais não sejam comprometidas pela fase cível.</w:t>
      </w:r>
    </w:p>
    <w:p>
      <w:pPr>
        <w:pStyle w:val="BlockText"/>
      </w:pPr>
      <w:r>
        <w:rPr>
          <w:b/>
          <w:bCs/>
        </w:rPr>
        <w:t xml:space="preserve">Conclusão:</w:t>
      </w:r>
      <w:r>
        <w:t xml:space="preserve"> </w:t>
      </w:r>
      <w:r>
        <w:t xml:space="preserve">A estratégia delineada visa assegurar a produção célere e eficaz de provas, garantir a proteção integral do menor e maximizar a responsabilização dos réus, tanto na esfera civil como penal. O cumprimento rigoroso dos prazos e a clara distribuição de tarefas são essenciais para o sucesso da ação.</w:t>
      </w:r>
    </w:p>
    <w:bookmarkEnd w:id="14"/>
    <w:bookmarkEnd w:id="15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000">
    <w:abstractNumId w:val="990"/>
  </w:num>
  <w:num w:numId="1001">
    <w:abstractNumId w:val="991"/>
  </w:num>
  <w:num w:numId="100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2026-02-22T18:44:07Z</dcterms:created>
  <dcterms:modified xsi:type="dcterms:W3CDTF">2026-02-22T18:44:07Z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